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B66A0" w14:textId="77777777" w:rsidR="005320E0" w:rsidRPr="00211073" w:rsidRDefault="005320E0" w:rsidP="005320E0">
      <w:pPr>
        <w:spacing w:before="40" w:after="40"/>
        <w:rPr>
          <w:rFonts w:ascii="Times New Roman" w:hAnsi="Times New Roman" w:cs="Times New Roman"/>
          <w:sz w:val="22"/>
          <w:szCs w:val="22"/>
        </w:rPr>
      </w:pPr>
      <w:r w:rsidRPr="00211073">
        <w:rPr>
          <w:rFonts w:ascii="Times New Roman" w:hAnsi="Times New Roman" w:cs="Times New Roman"/>
          <w:b/>
          <w:bCs/>
          <w:sz w:val="22"/>
          <w:szCs w:val="22"/>
        </w:rPr>
        <w:t>SERVICE D’INFRASTRUCTURE DE LA DÉFENSE NORD-EST</w:t>
      </w:r>
    </w:p>
    <w:p w14:paraId="666CBCDF" w14:textId="77777777" w:rsidR="005320E0" w:rsidRPr="00211073" w:rsidRDefault="005320E0" w:rsidP="005320E0">
      <w:pPr>
        <w:spacing w:before="40" w:after="40"/>
        <w:rPr>
          <w:rFonts w:ascii="Times New Roman" w:hAnsi="Times New Roman" w:cs="Times New Roman"/>
          <w:sz w:val="22"/>
          <w:szCs w:val="22"/>
        </w:rPr>
      </w:pPr>
      <w:r w:rsidRPr="00211073">
        <w:rPr>
          <w:rFonts w:ascii="Times New Roman" w:hAnsi="Times New Roman" w:cs="Times New Roman"/>
          <w:b/>
          <w:bCs/>
          <w:sz w:val="22"/>
          <w:szCs w:val="22"/>
        </w:rPr>
        <w:t>UNITÉ DE SOUTIEN DE L’INFRASTRUCTURE DE LA DÉFENSE DE BESANÇON</w:t>
      </w:r>
    </w:p>
    <w:p w14:paraId="7496B26A" w14:textId="77777777" w:rsidR="005320E0" w:rsidRDefault="005320E0" w:rsidP="005320E0">
      <w:pPr>
        <w:spacing w:before="40" w:after="40"/>
        <w:rPr>
          <w:rFonts w:ascii="Times New Roman" w:hAnsi="Times New Roman" w:cs="Times New Roman"/>
          <w:b/>
          <w:bCs/>
          <w:sz w:val="22"/>
          <w:szCs w:val="22"/>
        </w:rPr>
      </w:pPr>
      <w:r w:rsidRPr="00211073">
        <w:rPr>
          <w:rFonts w:ascii="Times New Roman" w:hAnsi="Times New Roman" w:cs="Times New Roman"/>
          <w:b/>
          <w:bCs/>
          <w:sz w:val="22"/>
          <w:szCs w:val="22"/>
        </w:rPr>
        <w:t>SECTION EXPLOITATION DE LA MAINTENANCE</w:t>
      </w:r>
    </w:p>
    <w:p w14:paraId="544792EE" w14:textId="77777777" w:rsidR="005320E0" w:rsidRPr="00211073" w:rsidRDefault="005320E0" w:rsidP="005320E0">
      <w:pPr>
        <w:spacing w:before="40" w:after="40"/>
        <w:rPr>
          <w:rFonts w:ascii="Times New Roman" w:hAnsi="Times New Roman" w:cs="Times New Roman"/>
          <w:b/>
          <w:bCs/>
          <w:sz w:val="22"/>
          <w:szCs w:val="22"/>
        </w:rPr>
      </w:pPr>
    </w:p>
    <w:p w14:paraId="58DC8934" w14:textId="77777777" w:rsidR="005320E0" w:rsidRPr="00211073" w:rsidRDefault="005320E0" w:rsidP="005320E0">
      <w:pPr>
        <w:spacing w:before="40" w:after="40"/>
        <w:rPr>
          <w:rFonts w:ascii="Times New Roman" w:hAnsi="Times New Roman" w:cs="Times New Roman"/>
          <w:sz w:val="22"/>
          <w:szCs w:val="22"/>
        </w:rPr>
      </w:pPr>
      <w:r w:rsidRPr="00211073">
        <w:rPr>
          <w:rFonts w:ascii="Times New Roman" w:hAnsi="Times New Roman" w:cs="Times New Roman"/>
          <w:sz w:val="22"/>
          <w:szCs w:val="22"/>
        </w:rPr>
        <w:t>Quartier RUTY – 64, rue Bersot – BP 21437 – 25007 BESANÇON Cedex</w:t>
      </w:r>
    </w:p>
    <w:p w14:paraId="1F887A71" w14:textId="77777777" w:rsidR="005320E0" w:rsidRPr="00211073" w:rsidRDefault="005320E0" w:rsidP="005320E0">
      <w:pPr>
        <w:spacing w:before="40" w:after="240"/>
        <w:rPr>
          <w:rFonts w:ascii="Times New Roman" w:hAnsi="Times New Roman" w:cs="Times New Roman"/>
          <w:sz w:val="22"/>
          <w:szCs w:val="22"/>
        </w:rPr>
      </w:pPr>
      <w:r w:rsidRPr="00211073">
        <w:rPr>
          <w:rFonts w:ascii="Times New Roman" w:hAnsi="Times New Roman" w:cs="Times New Roman"/>
          <w:sz w:val="22"/>
          <w:szCs w:val="22"/>
        </w:rPr>
        <w:t>Affaire suivie par : Indira ZERIC</w:t>
      </w:r>
    </w:p>
    <w:p w14:paraId="044487EC" w14:textId="31621728" w:rsidR="00C5362F" w:rsidRPr="005320E0" w:rsidRDefault="005320E0" w:rsidP="005320E0">
      <w:pPr>
        <w:spacing w:before="40" w:after="240"/>
        <w:rPr>
          <w:rFonts w:ascii="Times New Roman" w:hAnsi="Times New Roman" w:cs="Times New Roman"/>
          <w:sz w:val="22"/>
          <w:szCs w:val="22"/>
        </w:rPr>
      </w:pPr>
      <w:r w:rsidRPr="00211073">
        <w:rPr>
          <w:rFonts w:ascii="Times New Roman" w:hAnsi="Times New Roman" w:cs="Times New Roman"/>
          <w:sz w:val="22"/>
          <w:szCs w:val="22"/>
        </w:rPr>
        <w:t>Marché</w:t>
      </w:r>
      <w:r>
        <w:rPr>
          <w:rFonts w:ascii="Times New Roman" w:hAnsi="Times New Roman" w:cs="Times New Roman"/>
          <w:sz w:val="22"/>
          <w:szCs w:val="22"/>
        </w:rPr>
        <w:t xml:space="preserve"> n° 25USID05-</w:t>
      </w:r>
      <w:r w:rsidRPr="00211073">
        <w:rPr>
          <w:rFonts w:ascii="Times New Roman" w:hAnsi="Times New Roman" w:cs="Times New Roman"/>
          <w:sz w:val="22"/>
          <w:szCs w:val="22"/>
        </w:rPr>
        <w:t>014 – N° COSI : 467900</w:t>
      </w:r>
    </w:p>
    <w:p w14:paraId="541F15FD" w14:textId="77777777" w:rsidR="00C5362F" w:rsidRDefault="00E30AC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TABLEAU DES MARQUES ET TYPES</w:t>
      </w:r>
    </w:p>
    <w:p w14:paraId="338B3C59" w14:textId="18C8F9B8" w:rsidR="00C5362F" w:rsidRDefault="00C5362F">
      <w:pPr>
        <w:tabs>
          <w:tab w:val="center" w:pos="1843"/>
        </w:tabs>
        <w:rPr>
          <w:sz w:val="22"/>
        </w:rPr>
      </w:pPr>
    </w:p>
    <w:p w14:paraId="7F96F7D2" w14:textId="77777777" w:rsidR="00C5362F" w:rsidRDefault="00E30ACD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Objet du marché :</w:t>
      </w:r>
    </w:p>
    <w:p w14:paraId="5DAE3D28" w14:textId="0C3DA5A5" w:rsidR="00C5362F" w:rsidRPr="00020AB6" w:rsidRDefault="00020AB6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020AB6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DAF_2025_001545</w:t>
      </w:r>
    </w:p>
    <w:p w14:paraId="721C5CB2" w14:textId="652D0141" w:rsidR="00C5362F" w:rsidRDefault="00E30ACD" w:rsidP="000B4109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BESANCON (25) </w:t>
      </w:r>
    </w:p>
    <w:p w14:paraId="451D1738" w14:textId="77777777" w:rsidR="00AA3BE5" w:rsidRDefault="00E30ACD" w:rsidP="00AA3BE5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Quartier B</w:t>
      </w:r>
      <w:r w:rsidR="00AA3BE5">
        <w:rPr>
          <w:rFonts w:ascii="Times New Roman" w:hAnsi="Times New Roman" w:cs="Times New Roman"/>
          <w:b/>
          <w:bCs/>
          <w:sz w:val="28"/>
          <w:szCs w:val="28"/>
        </w:rPr>
        <w:t xml:space="preserve">RUN – Bâtiment 87 et Bâtiments 72, 73,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74 (H) – </w:t>
      </w:r>
    </w:p>
    <w:p w14:paraId="005B6B8B" w14:textId="04EBED39" w:rsidR="00C5362F" w:rsidRPr="00506AE8" w:rsidRDefault="00E30ACD" w:rsidP="00506AE8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Ré</w:t>
      </w:r>
      <w:r w:rsidR="00AA3BE5">
        <w:rPr>
          <w:rFonts w:ascii="Times New Roman" w:hAnsi="Times New Roman" w:cs="Times New Roman"/>
          <w:b/>
          <w:bCs/>
          <w:sz w:val="28"/>
          <w:szCs w:val="28"/>
        </w:rPr>
        <w:t xml:space="preserve">habilitation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des </w:t>
      </w:r>
      <w:r w:rsidR="00AA3BE5">
        <w:rPr>
          <w:rFonts w:ascii="Times New Roman" w:hAnsi="Times New Roman" w:cs="Times New Roman"/>
          <w:b/>
          <w:bCs/>
          <w:sz w:val="28"/>
          <w:szCs w:val="28"/>
        </w:rPr>
        <w:t>bâtiments</w:t>
      </w:r>
    </w:p>
    <w:p w14:paraId="0A38FB42" w14:textId="714E54F8" w:rsidR="00C5362F" w:rsidRDefault="00E30ACD" w:rsidP="00690FF1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tabs>
          <w:tab w:val="center" w:pos="184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Lot n° 01 : GROS OEUVRE </w:t>
      </w:r>
    </w:p>
    <w:p w14:paraId="470BB72B" w14:textId="77777777" w:rsidR="00C5362F" w:rsidRDefault="00C5362F">
      <w:pPr>
        <w:tabs>
          <w:tab w:val="center" w:pos="1843"/>
        </w:tabs>
        <w:rPr>
          <w:rFonts w:ascii="Times New Roman" w:hAnsi="Times New Roman" w:cs="Times New Roman"/>
          <w:b/>
          <w:bCs/>
          <w:sz w:val="22"/>
          <w:szCs w:val="28"/>
        </w:rPr>
      </w:pPr>
    </w:p>
    <w:p w14:paraId="277EBC32" w14:textId="77777777" w:rsidR="00C5362F" w:rsidRDefault="00E30ACD">
      <w:pPr>
        <w:tabs>
          <w:tab w:val="center" w:pos="184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Joindre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impérativement</w:t>
      </w:r>
      <w:r>
        <w:rPr>
          <w:rFonts w:ascii="Times New Roman" w:hAnsi="Times New Roman" w:cs="Times New Roman"/>
          <w:b/>
          <w:sz w:val="22"/>
          <w:szCs w:val="22"/>
        </w:rPr>
        <w:t>, une documentation technique et commerciale</w:t>
      </w:r>
    </w:p>
    <w:p w14:paraId="4D3ED280" w14:textId="4B5F737A" w:rsidR="00C5362F" w:rsidRDefault="00C5362F">
      <w:pPr>
        <w:pStyle w:val="Notedebasdepage"/>
        <w:spacing w:after="0"/>
      </w:pPr>
    </w:p>
    <w:p w14:paraId="27DDDF0C" w14:textId="77777777" w:rsidR="00506AE8" w:rsidRDefault="00506AE8">
      <w:pPr>
        <w:pStyle w:val="Notedebasdepage"/>
        <w:spacing w:after="0"/>
      </w:pPr>
      <w:bookmarkStart w:id="0" w:name="_GoBack"/>
      <w:bookmarkEnd w:id="0"/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1062"/>
        <w:gridCol w:w="3145"/>
        <w:gridCol w:w="2422"/>
        <w:gridCol w:w="3792"/>
      </w:tblGrid>
      <w:tr w:rsidR="00C5362F" w14:paraId="08C10847" w14:textId="77777777">
        <w:trPr>
          <w:tblHeader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E601F" w14:textId="77777777" w:rsidR="00C5362F" w:rsidRDefault="00E30ACD">
            <w:pPr>
              <w:pStyle w:val="Notedebasdepage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Article CCTP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8D7B" w14:textId="77777777" w:rsidR="00C5362F" w:rsidRDefault="00E30ACD">
            <w:pPr>
              <w:pStyle w:val="Notedebasdepage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Composant d’ouvrage à installer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28A37" w14:textId="77777777" w:rsidR="00C5362F" w:rsidRDefault="00E30ACD">
            <w:pPr>
              <w:pStyle w:val="Notedebasdepage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Marque, références précises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346D" w14:textId="77777777" w:rsidR="00C5362F" w:rsidRDefault="00E30ACD">
            <w:pPr>
              <w:pStyle w:val="Notedebasdepage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Caractéristiques techniques </w:t>
            </w:r>
          </w:p>
        </w:tc>
      </w:tr>
      <w:tr w:rsidR="00C5362F" w14:paraId="425ADE1A" w14:textId="77777777">
        <w:trPr>
          <w:trHeight w:val="340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6734A0" w14:textId="77777777" w:rsidR="00C5362F" w:rsidRDefault="00E30ACD">
            <w:pPr>
              <w:pStyle w:val="Notedebasdepage"/>
              <w:snapToGrid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SECTION TECHNIQUE N° 1 – INSTALLATION DE CHANTIER, IMPLANTATION, TERRASSEMENT, VRD</w:t>
            </w:r>
          </w:p>
        </w:tc>
      </w:tr>
      <w:tr w:rsidR="00C5362F" w14:paraId="1EA6B00E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6E94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3.1.1.1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E328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Base vie de chantier (modules préfabriqués : bureaux, salle de réunion, vestiaires, sanitaires, réfectoire)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C42A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172C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B7E962A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BDFB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3.1.1.2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14F88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Clôture de chantier grillagée rigide H = 2,00 m sur lestage et portail verrouillable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4C5F0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3E2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6B0E719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3A4BF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404E8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Géotextile anticontaminant de fond de forme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2A19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D7A0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F97228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E78FB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194A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Drain périphérique Ø 100 et géotextile d'enrobage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F92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719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711F4B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349A7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D4FE3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Grillages avertisseurs normalisés (bleu, rouge, vert)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EB33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E47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303F26E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590EE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3.1.4.6.1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D7BF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Canalisation PEHD PN 16 Ø 40 mm (adduction d'eau potable)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299B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1D4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53F6B8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84F89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3.1.4.6.1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011FC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Robinet de coupure extérieur sous bouche à clé (agrément eau potable)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DAD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6D4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4AFCA0A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BBDFB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3.1.4.6.1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40DAB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Vanne d'arrêt intérieure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D178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C85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3F9C2F9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6C044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3.1.4.6.2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ADA59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Regards de visite EU préfabriqués (fond à cunette, rehausses)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78CE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7A0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49F692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83ED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3.1.4.6.2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0127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Tampons hydrauliques fonte – classe de charge adaptée aux véhicules du régiment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3F7E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393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36BD1C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9842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3.1.4.6.3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1F8D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Regards EP de visite et de collecte, grilles avaloirs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D3C8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401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9F03811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B6D9A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3.1.4.6.3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86A29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Caniveaux EP à grille fonte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D901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C375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DE61A03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3D8D6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282D3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Feuillard de terre cuivre et accessoires de raccordement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1C6D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3A5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3EB71E3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0A8F9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3.1.4.7.1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4807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Fourreaux TPC rouges Ø 90 (courants forts)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AF9C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1AD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B81D797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EBC1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3.1.4.7.1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203C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Chambres de tirage courants forts et tampons fonte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A5E7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A55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4D4549D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A5A7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3.1.4.7.2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E3CA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Fourreaux TPC verts Ø 42/45 (courants faibles)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A9A5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F345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7E3511A1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EDDD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3.1.4.7.2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2787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Chambres de tirage télécom et tampons fonte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43C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0C0C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60608B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2558F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92364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Canalisation pré-isolée enterrée DN 90/162 (réseau de chaleur)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FA85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ED7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37C6911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822FA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9EE5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Tubes polybutène avec barrière anti-oxygène (BAO)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69B5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5FB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A2EC273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78CBE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0726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Accessoires du réseau pré-isolé : manchons, coudes, tés, joints d'isolation, organes de coupure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22A81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475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8D5D47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9A8E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3.1.4.8.3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1F2F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Fourreaux et dispositifs d'étanchéité de pénétration en façade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59F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375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8B4825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8483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3.1.4.9.2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F556D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Géotextile anticontaminant sous couche de forme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2D8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B841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7C22FD2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E639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3.1.4.9.4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EF66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Bordures béton préfabriquées types T et 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FBF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F96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11D69B4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51A6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3.1.4.9.4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1649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Gaine d'attente pour alimentation électrique d'éclairage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C53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888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B62904F" w14:textId="77777777">
        <w:trPr>
          <w:trHeight w:val="340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6CDCE1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SECTION TECHNIQUE N° 2 – MAÇONNERIE ET ENDUIT EXTÉRIEUR</w:t>
            </w:r>
          </w:p>
        </w:tc>
      </w:tr>
      <w:tr w:rsidR="00C5362F" w14:paraId="1458F517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71393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69EF6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Armatures haute adhérence B500B et treillis soudés – NF EN 10080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CEB7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A1C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79E68D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2F00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DCF4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Blocs béton B40 ép. 15 et 20 cm – NF EN 771-3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B613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8BD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A8CA648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D0FF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9B3E2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Arase hydrofuge ou membrane bitumineuse de coupure de capillarité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6B8A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8015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0265001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ED5A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55D54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Matériau de joint de désolidarisation</w:t>
            </w:r>
            <w:r w:rsidR="00AA3BE5">
              <w:rPr>
                <w:rFonts w:ascii="Times New Roman" w:hAnsi="Times New Roman" w:cs="Times New Roman"/>
              </w:rPr>
              <w:t xml:space="preserve"> et de dilatation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2BD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C10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A4460B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0DE1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093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Film polyéthylène anti-capillarité ≥ 200 µm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D71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765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7B682F1B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F0B0B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9889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Treillis soudé de dallage (type ST 25 C ou selon note de calcul)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9D3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C12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6535783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42561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3.2.4.8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ADCC5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Appuis de fenêtres préfabriqués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45E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CFE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84A056D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15D5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3.2.5.3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4CAA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Enduit hydraulique de façade chaux-ciment, finition grattée fine (sous avis technique)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D101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1A3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C77F4BE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D37B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3.2.5.3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3E7F5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Enduit hydrofuge de soubassement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6669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C420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7A659660" w14:textId="77777777">
        <w:trPr>
          <w:trHeight w:val="340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F4CCE6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SECTION TECHNIQUE N° 3 – ÉTANCHÉITÉ ET ZINGUERIE</w:t>
            </w:r>
          </w:p>
        </w:tc>
      </w:tr>
      <w:tr w:rsidR="00C5362F" w14:paraId="6C4D5C45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E6C6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00430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Écran pare-vapeur et primaire d'accrochage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D592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7A4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26A6F78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B8C7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291EC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Panneaux isolants de toiture (PIR surfacé ou laine minérale haute résistance à la compression)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C64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615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CF43D0D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F8A2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90E81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Revêtement d'étanchéité bicouche bitume élastomère SBS, ou membrane synthétique PVC-P / TPO (sous avis technique)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58C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DC6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0F4E960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6E932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1C53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Dalles sur plots réglables / chemins de circulation d'entretien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6AF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D5F5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566F18C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EBC1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629D3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Naissances EP à platine et crapaudines inox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4DE9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975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5403ABC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54E3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E57D0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Costières, manchons, collerettes et solins de pénétration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AE1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696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B08BBC8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A2AB8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A851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Garde-corps de toiture acier galvanisé ou aluminium – NF E 85-015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EC3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BE9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78628C7C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D234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3.3.3.8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085B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Portillon verrouillable d'accès à la toiture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617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632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7ADF6641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7AC3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685A5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Couvertines aluminium laqué ou zinc, ép. ≥ 15/10e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000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EF40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2C53735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BD21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3.3.4.1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7C05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Bandes de rive, solins et bavettes métalliques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E46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80D5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E2F4A59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BF33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3.3.4.2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E44B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Descentes EP zinc, aluminium ou PVC, et colliers de fixation inox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BFC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076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EFED2A7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EDD5" w14:textId="77777777" w:rsidR="00C5362F" w:rsidRDefault="00E30ACD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3.3.4.2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7D262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Dauphins en fonte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B07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041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2C883B5" w14:textId="77777777">
        <w:trPr>
          <w:trHeight w:val="340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E4561E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SECTION TECHNIQUE N° 4 – MENUISERIES EXTÉRIEURES ET ESCALIER</w:t>
            </w:r>
          </w:p>
        </w:tc>
      </w:tr>
      <w:tr w:rsidR="00C5362F" w14:paraId="2BC1EBBE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1832F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2600A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Menuiseries PVC blanc RAL 9016 – NF EN 12608, profilés ≥ 5 chambres, renforts galvanisés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41C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BA4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E4715AB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DA978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4B70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Double vitrage isolant faiblement émissif à lame d'argon, intercalaire à bord chaud, Ug ≤ 1,1 W/m².K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A08A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464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8D08447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0EF8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635BC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Vitrage feuilleté de sécurité 44.2 et vitrage imprimé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827A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91B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3DAF3F1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F6233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002A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Quincaillerie : crémone multipoints, ferrures oscillo-battantes renforcées, paumelles réglables 3D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2998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79F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C9876D8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4941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2140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Entrées d'air hygroréglables intégrées aux dormants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578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00F5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5B8D05F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40D04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43668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DENFC – ouvrant motorisé de désenfumage – NF S 61-937, NF S 61-932, NF EN 12101-2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8199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49B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545F5F5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97E5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D554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Centrale de désenfumage, commande à bris de glace et alimentation de sécurité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5C6A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5439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083D705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9D62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8939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Portes d'entrée aluminium à rupture de pont thermique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83AA0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140C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2E0523E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C994E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231E8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Serrures multipoints et cylindres de sûreté (organigramme de site)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172A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A8D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262042B" w14:textId="77777777" w:rsidTr="005320E0">
        <w:trPr>
          <w:trHeight w:val="387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0F8E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.3.3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19E2B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Ferme-portes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9A7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553D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07DE0F8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949A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FAD84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Portes d'issue de secours aluminium à un vantail avec tierce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6510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F4EC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4CCD015C" w14:textId="77777777" w:rsidTr="005320E0">
        <w:trPr>
          <w:trHeight w:val="563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C5EC4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426B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Barres anti-panique – NF EN 1125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EC1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494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267EB93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F4B8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E2FED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Porte acier du local sous-station, avec ouïes de ventilation basse et haute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1855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55A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3A003C2E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2772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E701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Porte acier thermolaquée du local de stockage extérieur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D9BF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39B2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798C219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1745F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.3.7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A3B2D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Appuis, bavettes, rejingots et habillages de menuiseries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FEF1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5C57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5235E735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1693D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.4.2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F272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Porte aluminium semi-vitrée de la salle de convivialité (bât. H)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7DC7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FEBA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66CEEE3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BA96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.5.4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A00A2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Profilés acier d'ossature d'escalier (limons, poteaux, traverses) – Eurocode 3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0F4E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15F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2BE7C4C4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7804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.5.5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0899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Marches et paliers en caillebotis acier galvanisé antidérapant ou tôle larmée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9294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E5B3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19D06E03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6AA5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.5.5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C2BD0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Nez de marche à revêtement antiglisse contrasté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8561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CAA1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62F" w14:paraId="08B33696" w14:textId="77777777">
        <w:trPr>
          <w:trHeight w:val="680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35AA" w14:textId="77777777" w:rsidR="00C5362F" w:rsidRDefault="00AA3BE5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  <w:r w:rsidR="00E30ACD">
              <w:rPr>
                <w:rFonts w:ascii="Times New Roman" w:hAnsi="Times New Roman" w:cs="Times New Roman"/>
                <w:b/>
              </w:rPr>
              <w:t>.5.6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AD07" w14:textId="77777777" w:rsidR="00C5362F" w:rsidRDefault="00E30ACD" w:rsidP="00506AE8">
            <w:pPr>
              <w:pStyle w:val="Notedebasdepage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Garde-corps et main courante d'escalier – NF P 01-012 / 01-013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6992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E63B" w14:textId="77777777" w:rsidR="00C5362F" w:rsidRDefault="00C5362F">
            <w:pPr>
              <w:pStyle w:val="Notedebasdepage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41C11A" w14:textId="77777777" w:rsidR="00C5362F" w:rsidRDefault="00C5362F">
      <w:pPr>
        <w:pStyle w:val="Notedebasdepage"/>
        <w:spacing w:after="0"/>
        <w:rPr>
          <w:rFonts w:ascii="Times New Roman" w:hAnsi="Times New Roman" w:cs="Times New Roman"/>
          <w:sz w:val="24"/>
          <w:szCs w:val="24"/>
        </w:rPr>
      </w:pPr>
    </w:p>
    <w:p w14:paraId="7B39D071" w14:textId="6089E673" w:rsidR="00C5362F" w:rsidRPr="005320E0" w:rsidRDefault="00E30ACD" w:rsidP="005320E0">
      <w:pPr>
        <w:pStyle w:val="Notedebasdepage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                                          le</w:t>
      </w:r>
    </w:p>
    <w:p w14:paraId="73FE8A0A" w14:textId="77777777" w:rsidR="00C5362F" w:rsidRDefault="00E30ACD">
      <w:pPr>
        <w:pStyle w:val="Retraitcorpsdetexte"/>
        <w:ind w:left="0" w:firstLine="0"/>
        <w:jc w:val="center"/>
      </w:pPr>
      <w:r>
        <w:rPr>
          <w:b/>
          <w:bCs/>
          <w:sz w:val="24"/>
          <w:szCs w:val="24"/>
        </w:rPr>
        <w:t>Signature et cachet de l’entreprise</w:t>
      </w:r>
    </w:p>
    <w:sectPr w:rsidR="00C5362F">
      <w:pgSz w:w="11906" w:h="16838"/>
      <w:pgMar w:top="1134" w:right="851" w:bottom="1134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E6FD1"/>
    <w:multiLevelType w:val="multilevel"/>
    <w:tmpl w:val="E7C27B96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TrackMoves/>
  <w:defaultTabStop w:val="708"/>
  <w:autoHyphenation/>
  <w:hyphenationZone w:val="425"/>
  <w:characterSpacingControl w:val="doNotCompress"/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362F"/>
    <w:rsid w:val="00020AB6"/>
    <w:rsid w:val="000B4109"/>
    <w:rsid w:val="00506AE8"/>
    <w:rsid w:val="005320E0"/>
    <w:rsid w:val="00690FF1"/>
    <w:rsid w:val="00AA3BE5"/>
    <w:rsid w:val="00C5362F"/>
    <w:rsid w:val="00E3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FA2BC"/>
  <w15:docId w15:val="{60210951-EEF7-4D69-9F21-0A5FF14D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E w:val="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pacing w:before="60" w:after="60"/>
      <w:ind w:firstLine="340"/>
      <w:jc w:val="center"/>
      <w:outlineLvl w:val="0"/>
    </w:pPr>
    <w:rPr>
      <w:b/>
      <w:bCs/>
      <w:caps/>
      <w:szCs w:val="28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120" w:after="120"/>
      <w:ind w:left="567"/>
      <w:jc w:val="left"/>
      <w:outlineLvl w:val="1"/>
    </w:pPr>
    <w:rPr>
      <w:b/>
      <w:bCs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120" w:after="120"/>
      <w:ind w:left="851"/>
      <w:jc w:val="left"/>
      <w:outlineLvl w:val="2"/>
    </w:pPr>
    <w:rPr>
      <w:bCs/>
      <w:szCs w:val="32"/>
      <w:u w:val="single"/>
    </w:rPr>
  </w:style>
  <w:style w:type="paragraph" w:styleId="Titre4">
    <w:name w:val="heading 4"/>
    <w:basedOn w:val="Normal"/>
    <w:next w:val="Normal"/>
    <w:qFormat/>
    <w:pPr>
      <w:keepNext/>
      <w:widowControl/>
      <w:numPr>
        <w:ilvl w:val="3"/>
        <w:numId w:val="1"/>
      </w:numPr>
      <w:spacing w:before="120" w:after="120"/>
      <w:ind w:left="1134"/>
      <w:jc w:val="left"/>
      <w:outlineLvl w:val="3"/>
    </w:pPr>
    <w:rPr>
      <w:bCs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widowControl/>
      <w:numPr>
        <w:ilvl w:val="4"/>
        <w:numId w:val="1"/>
      </w:numPr>
      <w:pBdr>
        <w:top w:val="single" w:sz="24" w:space="1" w:color="000000"/>
        <w:left w:val="single" w:sz="24" w:space="1" w:color="000000"/>
        <w:bottom w:val="single" w:sz="24" w:space="1" w:color="000000"/>
        <w:right w:val="single" w:sz="24" w:space="1" w:color="000000"/>
      </w:pBdr>
      <w:shd w:val="clear" w:color="auto" w:fill="E5E5E5"/>
      <w:tabs>
        <w:tab w:val="left" w:leader="dot" w:pos="8505"/>
      </w:tabs>
      <w:autoSpaceDE/>
      <w:spacing w:after="120"/>
      <w:jc w:val="center"/>
      <w:outlineLvl w:val="4"/>
    </w:pPr>
    <w:rPr>
      <w:rFonts w:ascii="Times New Roman" w:hAnsi="Times New Roman" w:cs="Times New Roman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Times New Roman" w:hAnsi="Times New Roman" w:cs="Times New Roman"/>
      <w:b/>
      <w:bCs/>
      <w:sz w:val="40"/>
      <w:szCs w:val="20"/>
      <w:u w:val="single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Titre9">
    <w:name w:val="heading 9"/>
    <w:basedOn w:val="Normal"/>
    <w:next w:val="Normal"/>
    <w:qFormat/>
    <w:pPr>
      <w:widowControl/>
      <w:numPr>
        <w:ilvl w:val="8"/>
        <w:numId w:val="1"/>
      </w:numPr>
      <w:autoSpaceDE/>
      <w:spacing w:before="120" w:after="120"/>
      <w:ind w:left="-360"/>
      <w:outlineLvl w:val="8"/>
    </w:pPr>
    <w:rPr>
      <w:rFonts w:ascii="Times New Roman" w:hAnsi="Times New Roman" w:cs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styleId="Numrodepage">
    <w:name w:val="page number"/>
    <w:basedOn w:val="Policepardfaut"/>
  </w:style>
  <w:style w:type="character" w:styleId="Accentuation">
    <w:name w:val="Emphasis"/>
    <w:qFormat/>
    <w:rPr>
      <w:i/>
      <w:iCs/>
    </w:rPr>
  </w:style>
  <w:style w:type="paragraph" w:customStyle="1" w:styleId="Heading">
    <w:name w:val="Heading"/>
    <w:basedOn w:val="Normal"/>
    <w:next w:val="Corpsdetexte"/>
    <w:qFormat/>
    <w:pPr>
      <w:widowControl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autoSpaceDE/>
      <w:spacing w:after="120"/>
      <w:ind w:right="-1"/>
      <w:jc w:val="center"/>
    </w:pPr>
    <w:rPr>
      <w:b/>
      <w:sz w:val="28"/>
      <w:szCs w:val="20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Notedebasdepage">
    <w:name w:val="footnote text"/>
    <w:basedOn w:val="Normal"/>
    <w:pPr>
      <w:widowControl/>
      <w:autoSpaceDE/>
      <w:spacing w:after="120"/>
    </w:pPr>
    <w:rPr>
      <w:sz w:val="20"/>
      <w:szCs w:val="20"/>
    </w:rPr>
  </w:style>
  <w:style w:type="paragraph" w:customStyle="1" w:styleId="paragraphe">
    <w:name w:val="paragraphe"/>
    <w:basedOn w:val="Normal"/>
    <w:next w:val="Normal"/>
    <w:qFormat/>
    <w:pPr>
      <w:widowControl/>
      <w:autoSpaceDE/>
      <w:ind w:left="851"/>
    </w:pPr>
    <w:rPr>
      <w:rFonts w:ascii="Times New Roman" w:hAnsi="Times New Roman" w:cs="Times New Roman"/>
      <w:sz w:val="20"/>
      <w:szCs w:val="20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252"/>
        <w:tab w:val="right" w:pos="8504"/>
      </w:tabs>
    </w:pPr>
  </w:style>
  <w:style w:type="paragraph" w:styleId="TM1">
    <w:name w:val="toc 1"/>
    <w:basedOn w:val="Normal"/>
    <w:next w:val="Normal"/>
    <w:pPr>
      <w:tabs>
        <w:tab w:val="center" w:pos="3119"/>
      </w:tabs>
      <w:spacing w:before="120" w:after="120"/>
    </w:pPr>
    <w:rPr>
      <w:smallCaps/>
      <w:szCs w:val="20"/>
    </w:rPr>
  </w:style>
  <w:style w:type="paragraph" w:styleId="TM2">
    <w:name w:val="toc 2"/>
    <w:basedOn w:val="Normal"/>
    <w:next w:val="Normal"/>
    <w:pPr>
      <w:ind w:left="240"/>
    </w:pPr>
    <w:rPr>
      <w:rFonts w:ascii="Times New Roman" w:hAnsi="Times New Roman" w:cs="Times New Roman"/>
      <w:b/>
      <w:bCs/>
      <w:smallCaps/>
      <w:sz w:val="22"/>
      <w:u w:val="single"/>
    </w:rPr>
  </w:style>
  <w:style w:type="paragraph" w:styleId="TM3">
    <w:name w:val="toc 3"/>
    <w:basedOn w:val="Normal"/>
    <w:next w:val="Normal"/>
    <w:pPr>
      <w:ind w:left="480"/>
    </w:pPr>
    <w:rPr>
      <w:rFonts w:ascii="Times New Roman" w:hAnsi="Times New Roman" w:cs="Times New Roman"/>
      <w:i/>
      <w:iCs/>
    </w:rPr>
  </w:style>
  <w:style w:type="paragraph" w:styleId="TM4">
    <w:name w:val="toc 4"/>
    <w:basedOn w:val="Normal"/>
    <w:next w:val="Normal"/>
    <w:pPr>
      <w:ind w:left="720"/>
    </w:pPr>
    <w:rPr>
      <w:rFonts w:ascii="Times New Roman" w:hAnsi="Times New Roman" w:cs="Times New Roman"/>
      <w:szCs w:val="21"/>
    </w:rPr>
  </w:style>
  <w:style w:type="paragraph" w:styleId="TM5">
    <w:name w:val="toc 5"/>
    <w:basedOn w:val="Normal"/>
    <w:next w:val="Normal"/>
    <w:pPr>
      <w:ind w:left="960"/>
    </w:pPr>
    <w:rPr>
      <w:rFonts w:ascii="Times New Roman" w:hAnsi="Times New Roman" w:cs="Times New Roman"/>
      <w:szCs w:val="21"/>
    </w:rPr>
  </w:style>
  <w:style w:type="paragraph" w:styleId="TM6">
    <w:name w:val="toc 6"/>
    <w:basedOn w:val="Normal"/>
    <w:next w:val="Normal"/>
    <w:pPr>
      <w:ind w:left="1200"/>
    </w:pPr>
    <w:rPr>
      <w:rFonts w:ascii="Times New Roman" w:hAnsi="Times New Roman" w:cs="Times New Roman"/>
      <w:szCs w:val="21"/>
    </w:rPr>
  </w:style>
  <w:style w:type="paragraph" w:styleId="TM7">
    <w:name w:val="toc 7"/>
    <w:basedOn w:val="Normal"/>
    <w:next w:val="Normal"/>
    <w:pPr>
      <w:ind w:left="1440"/>
    </w:pPr>
    <w:rPr>
      <w:rFonts w:ascii="Times New Roman" w:hAnsi="Times New Roman" w:cs="Times New Roman"/>
      <w:szCs w:val="21"/>
    </w:rPr>
  </w:style>
  <w:style w:type="paragraph" w:styleId="TM8">
    <w:name w:val="toc 8"/>
    <w:basedOn w:val="Normal"/>
    <w:next w:val="Normal"/>
    <w:pPr>
      <w:ind w:left="1680"/>
    </w:pPr>
    <w:rPr>
      <w:rFonts w:ascii="Times New Roman" w:hAnsi="Times New Roman" w:cs="Times New Roman"/>
      <w:szCs w:val="21"/>
    </w:rPr>
  </w:style>
  <w:style w:type="paragraph" w:styleId="TM9">
    <w:name w:val="toc 9"/>
    <w:basedOn w:val="Normal"/>
    <w:next w:val="Normal"/>
    <w:pPr>
      <w:ind w:left="1920"/>
    </w:pPr>
    <w:rPr>
      <w:rFonts w:ascii="Times New Roman" w:hAnsi="Times New Roman" w:cs="Times New Roman"/>
      <w:szCs w:val="21"/>
    </w:rPr>
  </w:style>
  <w:style w:type="paragraph" w:styleId="Corpsdetexte3">
    <w:name w:val="Body Text 3"/>
    <w:basedOn w:val="Normal"/>
    <w:qFormat/>
    <w:pPr>
      <w:widowControl/>
      <w:overflowPunct w:val="0"/>
      <w:jc w:val="left"/>
      <w:textAlignment w:val="baseline"/>
    </w:pPr>
    <w:rPr>
      <w:sz w:val="22"/>
      <w:szCs w:val="20"/>
    </w:rPr>
  </w:style>
  <w:style w:type="paragraph" w:styleId="Corpsdetexte2">
    <w:name w:val="Body Text 2"/>
    <w:basedOn w:val="Normal"/>
    <w:qFormat/>
    <w:pPr>
      <w:widowControl/>
      <w:overflowPunct w:val="0"/>
      <w:jc w:val="left"/>
      <w:textAlignment w:val="baseline"/>
    </w:pPr>
    <w:rPr>
      <w:b/>
      <w:sz w:val="22"/>
      <w:szCs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widowControl/>
      <w:overflowPunct w:val="0"/>
      <w:ind w:left="1276" w:hanging="1276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461ED-586E-4C98-A1A1-7C6D57AD64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9c1fc8e-4872-46be-9d61-a8bb4d3efa2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A0AF63-FB27-4092-9C9E-A13A6F7BE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26575-6A53-42EE-B08A-76ABAEBD19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4</Pages>
  <Words>866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indira.zeric@intradef.gouv.fr</dc:creator>
  <cp:lastModifiedBy>PAES Jose SA CE MINDEF</cp:lastModifiedBy>
  <cp:revision>7</cp:revision>
  <dcterms:created xsi:type="dcterms:W3CDTF">2026-07-22T19:56:00Z</dcterms:created>
  <dcterms:modified xsi:type="dcterms:W3CDTF">2026-07-24T08:17:00Z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2019-02-12T10:49:00Z</dcterms:created>
  <dc:creator/>
  <dc:description/>
  <cp:keywords/>
  <dc:language>en-US</dc:language>
  <cp:lastModifiedBy>ZERIC Indira TSEF 2CL</cp:lastModifiedBy>
  <cp:lastPrinted>2017-07-18T17:07:00Z</cp:lastPrinted>
  <dcterms:modified xsi:type="dcterms:W3CDTF">2026-07-09T15:36:00Z</dcterms:modified>
  <cp:revision>27</cp:revision>
  <dc:subject/>
  <dc:title>MARCHE PUBLIC DE PRESTATIONS INTELLECTUELLES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0x01010021C15399B325C741A7287DF3277F4B1E</vt:lpwstr>
  </property>
</Properties>
</file>